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D" w:rsidRPr="007C31FD" w:rsidRDefault="007C31FD" w:rsidP="007C31FD">
      <w:pPr>
        <w:widowControl/>
        <w:jc w:val="center"/>
        <w:rPr>
          <w:rFonts w:ascii="細明體" w:eastAsia="細明體" w:hAnsi="細明體" w:cs="新細明體"/>
          <w:color w:val="000000" w:themeColor="text1"/>
          <w:kern w:val="0"/>
          <w:sz w:val="27"/>
          <w:szCs w:val="27"/>
        </w:rPr>
      </w:pPr>
      <w:r w:rsidRPr="007C31FD">
        <w:rPr>
          <w:rFonts w:ascii="研澤古印體" w:eastAsia="研澤古印體" w:hAnsi="細明體" w:cs="新細明體" w:hint="eastAsia"/>
          <w:color w:val="000000" w:themeColor="text1"/>
          <w:kern w:val="0"/>
          <w:sz w:val="36"/>
          <w:szCs w:val="36"/>
        </w:rPr>
        <w:t>國立竹南高級中學個別輔導實施辦法</w:t>
      </w:r>
    </w:p>
    <w:p w:rsidR="007C31FD" w:rsidRPr="007C31FD" w:rsidRDefault="007C31FD" w:rsidP="007C31FD">
      <w:pPr>
        <w:widowControl/>
        <w:ind w:left="1920" w:hanging="192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細明體" w:eastAsia="細明體" w:hAnsi="細明體" w:cs="新細明體" w:hint="eastAsia"/>
          <w:color w:val="000000" w:themeColor="text1"/>
          <w:kern w:val="0"/>
          <w:sz w:val="27"/>
        </w:rPr>
        <w:t>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一、依據：民國九十年十二月二十日台（九０）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參字第九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0一七九九五九號修訂「高級中學學生輔導辦法」訂定本辦法。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二、目的：培養學生健康的心靈、樂觀的學習態度、開朗的性格、良好的人際關係、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          化解學生所遭遇的困難及心理困擾問題，以達成樂學習為目的。   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三、實施類別：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１．個別輔導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Ａ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.為初級預防，導師為主要輔導者，訓導人員及任課老師為協助輔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導者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。學生自行到輔導室申請晤談者則由輔導老師接案晤談。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Ｂ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.一年級導師希能於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年內和班上每位同學至少晤談過一次，可個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別晤談或小組談話。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Ｃ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.二、三年級導師希能就該班有適應及心理困擾問題的學生實施個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別晤談。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Ｄ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.視學生情況實施家庭訪視或電話訪問以了解家長意見或親子關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係。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Ｅ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.訪談後請將學生問題重點記錄於導師訪談記錄中，散頁式的訪談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記錄將隨學生三年到畢業，在追蹤輔導上具有延續的功能，當有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任何意外事件發生時，訪談記錄更可協助處理問題。請導師能隨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手記錄，學期結束前由輔導室收回。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Ｆ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.學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務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處及教官室之個別輔導配合處室需要實施。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Ｇ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.任課老師視需要和學生晤談或將學生轉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給該班導師。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２．認輔制度為二級預防，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另訂認輔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工作實施計畫。(詳見附件一)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３．個案輔導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Ａ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.為三級預防。具以下問題學生，請導師、訓導人員及任課老師填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寫個別輔導轉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表(如附件二)，將學生轉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到輔導室實施個案輔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導：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 (１)學生言行怪異，已無法正常學習者。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 (２)師生關係或親子關係非常不良，無法於短時間內處理結束之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學生。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 (３)精神耗弱，注意力無法集中，需長期輔導之學生。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(４)陷入感情的漩渦之中，無法自制之學生。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(５)價值觀嚴重扭曲，具有反社會傾向者。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(６)留校查看學生。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(７)其他需要轉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之學生。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B.轉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到輔導室之後由輔導教師先行個別談話，確定是否需要個案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lastRenderedPageBreak/>
        <w:t xml:space="preserve">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輔導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４．校外轉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</w:p>
    <w:p w:rsidR="007C31FD" w:rsidRPr="007C31FD" w:rsidRDefault="007C31FD" w:rsidP="007C31FD">
      <w:pPr>
        <w:widowControl/>
        <w:ind w:left="1440" w:hanging="144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Ａ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.精神耗弱需專業診斷之學生轉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至苗栗縣心理衛生諮詢服務中心(設在苗栗農工)，需家長、導師及輔導老師共同處理。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Ｂ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.精神疾病發病學生則直接轉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至為恭醫院精神科門診。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Ｃ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.其他需轉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至社會資源單位學生，依個案需要處理。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四、個別輔導方式</w:t>
      </w:r>
    </w:p>
    <w:p w:rsidR="007C31FD" w:rsidRPr="007C31FD" w:rsidRDefault="007C31FD" w:rsidP="007C31FD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晤談時間可利用早讀、午休或課餘時間，每次晤談時間由晤談者自行調整。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２．晤談地點，可利用個別輔導室(在圖書館二樓)，也可於校園中的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任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角落，以不讓第三者聽到而影響晤談效果為原則。</w:t>
      </w:r>
    </w:p>
    <w:p w:rsidR="007C31FD" w:rsidRPr="007C31FD" w:rsidRDefault="007C31FD" w:rsidP="007C31FD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晤談結束請將學生問題重點記錄於導師訪談記錄之中，條列式記錄即可。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４．學生自行申請或輔導室直接約談者，由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輔導室接案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。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５．輔導老師之晤談以午休時間為主，若學生問題嚴重需及時處理者</w:t>
      </w:r>
    </w:p>
    <w:p w:rsidR="007C31FD" w:rsidRDefault="007C31FD" w:rsidP="007C31FD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則將利用上課時間，晤談前或之後輔導室將代學生請公假，請導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師及任課老師多多包涵。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６．輔導</w:t>
      </w:r>
      <w:proofErr w:type="gramStart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室設親職</w:t>
      </w:r>
      <w:proofErr w:type="gramEnd"/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專線：037-464940，請導師鼓勵家長使用。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</w:t>
      </w: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五、個案輔導實施方式：另訂個案輔導實施辦法辦理。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五、輔導股長為同儕輔導的實習生，輔導室將培訓輔導股長，使之成為同儕輔導者及個別輔導的媒介者。</w:t>
      </w:r>
    </w:p>
    <w:p w:rsidR="007C31FD" w:rsidRPr="007C31FD" w:rsidRDefault="007C31FD" w:rsidP="007C31FD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7C31F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六、本計畫經導師會報通過，陳請校長核定後實施之。</w:t>
      </w:r>
    </w:p>
    <w:p w:rsidR="009C5D2D" w:rsidRPr="007C31FD" w:rsidRDefault="009C5D2D">
      <w:pPr>
        <w:rPr>
          <w:color w:val="000000" w:themeColor="text1"/>
        </w:rPr>
      </w:pPr>
    </w:p>
    <w:sectPr w:rsidR="009C5D2D" w:rsidRPr="007C31FD" w:rsidSect="009C5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研澤古印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7922"/>
    <w:multiLevelType w:val="hybridMultilevel"/>
    <w:tmpl w:val="AAA6505A"/>
    <w:lvl w:ilvl="0" w:tplc="5A2A8722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1FD"/>
    <w:rsid w:val="007C31FD"/>
    <w:rsid w:val="009C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C31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7C31FD"/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C31FD"/>
  </w:style>
  <w:style w:type="paragraph" w:styleId="a5">
    <w:name w:val="List Paragraph"/>
    <w:basedOn w:val="a"/>
    <w:uiPriority w:val="34"/>
    <w:qFormat/>
    <w:rsid w:val="007C31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2016-01-11T03:25:00Z</dcterms:created>
  <dcterms:modified xsi:type="dcterms:W3CDTF">2016-01-11T03:30:00Z</dcterms:modified>
</cp:coreProperties>
</file>