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4E" w:rsidRPr="0083264E" w:rsidRDefault="0083264E" w:rsidP="00821D56">
      <w:pPr>
        <w:widowControl/>
        <w:jc w:val="center"/>
        <w:rPr>
          <w:rFonts w:ascii="細明體" w:eastAsia="細明體" w:hAnsi="細明體" w:cs="新細明體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國立竹南高中學生成績進步獎實施辦法</w:t>
      </w:r>
    </w:p>
    <w:p w:rsidR="0083264E" w:rsidRPr="0083264E" w:rsidRDefault="0083264E" w:rsidP="00821D56">
      <w:pPr>
        <w:widowControl/>
        <w:ind w:left="1680" w:hanging="168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壹、目    的：為培養學生讀書風氣，鼓勵學生自我比較、自求進步；從中得到學習的成就感，重建自信心與學習動機，進而提昇本校升學率。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貳、獎勵類別：(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)學期學業成績  (二)期中考試名次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參、獎勵資格：(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)凡個人學期學業成績較前學期有下列進步者：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①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八十分以上進步二分以</w:t>
      </w: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②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七十五分以上進步四分以上者。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③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六十分以上進步七分以上者。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④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五十九分以下進步十分以上者。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        (二)凡期中考試個人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在年級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、類組排名有下列進步者：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①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</w:t>
      </w: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 三晳名以內而進步    六名以上者。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②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</w:t>
      </w: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 六晳名以內而進步  二晳名以上者。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③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本次排名在一晳晳名以內而進步　四晳名以上者。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④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本次排名在一五晳名以內而進步</w:t>
      </w: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 六晳名以上者。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⑤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本次排名在二晳晳名以內而進步</w:t>
      </w: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 九晳名以上者。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             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⑥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本次排名在三晳晳名以內而進步一二晳名以上者。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⑦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本次排名在四晳晳名以內而進步一六晳名以上者。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⑧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本次排名在五晳晳名以內而進步二五晳名以上者。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 xml:space="preserve">                </w:t>
      </w:r>
      <w:r w:rsidRPr="0083264E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⑨</w:t>
      </w:r>
      <w:r w:rsidRPr="0083264E">
        <w:rPr>
          <w:rFonts w:ascii="標楷體" w:eastAsia="標楷體" w:hAnsi="標楷體" w:cs="標楷體" w:hint="eastAsia"/>
          <w:color w:val="000000" w:themeColor="text1"/>
          <w:kern w:val="0"/>
          <w:sz w:val="27"/>
          <w:szCs w:val="27"/>
        </w:rPr>
        <w:t>本次排名在五晳一名以外而進步三晳晳名以上者。</w:t>
      </w:r>
    </w:p>
    <w:p w:rsidR="0083264E" w:rsidRPr="0083264E" w:rsidRDefault="0083264E" w:rsidP="00821D56">
      <w:pPr>
        <w:widowControl/>
        <w:ind w:left="1920" w:hanging="192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        (三)期中考前，凡個人就某一學科與任課教師訂定契約，經任課教師考核認定有進步者。</w:t>
      </w:r>
    </w:p>
    <w:p w:rsidR="0083264E" w:rsidRPr="0083264E" w:rsidRDefault="0083264E" w:rsidP="00821D56">
      <w:pPr>
        <w:widowControl/>
        <w:ind w:left="1920" w:hanging="192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肆、獎勵辦法：(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)學期學業成績與期中考試成績經教務處成績管理系統檢核，符合獎勵資格者由教務處依年級、類組擇優頒發獎學金每名參佰元整及獎狀乙張。</w:t>
      </w:r>
    </w:p>
    <w:p w:rsidR="0083264E" w:rsidRPr="0083264E" w:rsidRDefault="0083264E" w:rsidP="00821D56">
      <w:pPr>
        <w:widowControl/>
        <w:ind w:left="1920" w:hanging="192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        (二)期中考試各科成績達成與任課教師訂定之契約者，任課教師得依該生進步狀況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酌加該科學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期成績二至八分。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              (三)本辦法所稱以上、以下、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以內、以外皆含本數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伍、經    費：由本校單位預算各科教學</w:t>
      </w:r>
      <w:proofErr w:type="gramStart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獎勵金項下</w:t>
      </w:r>
      <w:proofErr w:type="gramEnd"/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支應。</w:t>
      </w:r>
    </w:p>
    <w:p w:rsidR="0083264E" w:rsidRPr="0083264E" w:rsidRDefault="0083264E" w:rsidP="00821D56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83264E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陸、本辦法經行政會議通過，呈校長核定後實施，修正時亦同。</w:t>
      </w:r>
    </w:p>
    <w:p w:rsidR="009C5D2D" w:rsidRPr="0083264E" w:rsidRDefault="009C5D2D" w:rsidP="00821D56">
      <w:pPr>
        <w:rPr>
          <w:color w:val="000000" w:themeColor="text1"/>
        </w:rPr>
      </w:pPr>
    </w:p>
    <w:sectPr w:rsidR="009C5D2D" w:rsidRPr="0083264E" w:rsidSect="00821D56">
      <w:pgSz w:w="11906" w:h="16838"/>
      <w:pgMar w:top="1440" w:right="1361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64E"/>
    <w:rsid w:val="00821D56"/>
    <w:rsid w:val="0083264E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32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83264E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2016-01-11T03:12:00Z</dcterms:created>
  <dcterms:modified xsi:type="dcterms:W3CDTF">2016-01-11T03:14:00Z</dcterms:modified>
</cp:coreProperties>
</file>